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7318C85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EC730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0B542B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4D6D1314" w:rsidR="000D6330" w:rsidRPr="000B542B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0B542B">
              <w:rPr>
                <w:rFonts w:ascii="Arial" w:hAnsi="Arial" w:cs="Arial"/>
                <w:b/>
              </w:rPr>
              <w:t>Název veřejné zakázky</w:t>
            </w:r>
            <w:r w:rsidR="006B6AE5" w:rsidRPr="000B542B">
              <w:rPr>
                <w:rFonts w:ascii="Arial" w:hAnsi="Arial" w:cs="Arial"/>
                <w:b/>
              </w:rPr>
              <w:t xml:space="preserve"> malého rozsahu</w:t>
            </w:r>
            <w:r w:rsidRPr="000B542B">
              <w:rPr>
                <w:rFonts w:ascii="Arial" w:hAnsi="Arial" w:cs="Arial"/>
                <w:b/>
              </w:rPr>
              <w:t>:</w:t>
            </w:r>
            <w:r w:rsidR="00347CA7" w:rsidRPr="000B542B">
              <w:rPr>
                <w:rFonts w:ascii="Arial" w:hAnsi="Arial" w:cs="Arial"/>
                <w:b/>
              </w:rPr>
              <w:t xml:space="preserve"> </w:t>
            </w:r>
            <w:r w:rsidR="006B6AE5" w:rsidRPr="000B542B">
              <w:rPr>
                <w:rFonts w:ascii="Arial" w:hAnsi="Arial" w:cs="Arial"/>
                <w:b/>
              </w:rPr>
              <w:t>MR2</w:t>
            </w:r>
            <w:r w:rsidR="00721790" w:rsidRPr="000B542B">
              <w:rPr>
                <w:rFonts w:ascii="Arial" w:hAnsi="Arial" w:cs="Arial"/>
                <w:b/>
              </w:rPr>
              <w:t>2</w:t>
            </w:r>
            <w:r w:rsidR="00447B8F" w:rsidRPr="000B542B">
              <w:rPr>
                <w:rFonts w:ascii="Arial" w:hAnsi="Arial" w:cs="Arial"/>
                <w:b/>
              </w:rPr>
              <w:t>/201</w:t>
            </w:r>
            <w:r w:rsidR="000D6330" w:rsidRPr="000B542B">
              <w:rPr>
                <w:rFonts w:ascii="Arial" w:hAnsi="Arial" w:cs="Arial"/>
                <w:b/>
              </w:rPr>
              <w:t>9</w:t>
            </w:r>
            <w:r w:rsidR="00447B8F" w:rsidRPr="000B542B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0B542B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6FDDF410" w:rsidR="000D6330" w:rsidRPr="000B542B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0B542B">
              <w:rPr>
                <w:rFonts w:ascii="Arial" w:hAnsi="Arial" w:cs="Arial"/>
                <w:b/>
              </w:rPr>
              <w:t>„</w:t>
            </w:r>
            <w:r w:rsidR="000B542B" w:rsidRPr="000B542B">
              <w:rPr>
                <w:rFonts w:ascii="Arial" w:hAnsi="Arial" w:cs="Arial"/>
                <w:b/>
              </w:rPr>
              <w:t>Indexace obsahu a vyhledávání, a další služby spojené s vyhledáváním textu</w:t>
            </w:r>
            <w:r w:rsidRPr="000B542B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0B542B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8ED36" w14:textId="77777777" w:rsidR="009A3383" w:rsidRDefault="009A3383">
      <w:r>
        <w:separator/>
      </w:r>
    </w:p>
  </w:endnote>
  <w:endnote w:type="continuationSeparator" w:id="0">
    <w:p w14:paraId="2AF1CB62" w14:textId="77777777" w:rsidR="009A3383" w:rsidRDefault="009A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16CD3" w14:textId="77777777" w:rsidR="009A3383" w:rsidRDefault="009A3383">
      <w:r>
        <w:separator/>
      </w:r>
    </w:p>
  </w:footnote>
  <w:footnote w:type="continuationSeparator" w:id="0">
    <w:p w14:paraId="71DEE3CA" w14:textId="77777777" w:rsidR="009A3383" w:rsidRDefault="009A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B542B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1790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338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3BF9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20AA6D4ED2D7419258D34BC1284809" ma:contentTypeVersion="" ma:contentTypeDescription="Vytvoří nový dokument" ma:contentTypeScope="" ma:versionID="ff50bf674a35de3622920c1674ed040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$ListId:dokumentyvz;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D7C627-AF9C-47FB-A34B-73F6B998E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513</Words>
  <Characters>3033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2019-08-27T11:38:00Z</dcterms:created>
  <dcterms:modified xsi:type="dcterms:W3CDTF">2019-08-27T11:38:00Z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0x010100AF20AA6D4ED2D7419258D34BC1284809</vt:lpwstr>
  </property>
</Properties>
</file>